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43790" w:rsidR="00CC383C" w:rsidP="5D4836F3" w:rsidRDefault="00CC383C" w14:paraId="3221500B" w14:textId="62E9B8BC">
      <w:pPr>
        <w:pStyle w:val="Heading1"/>
        <w:rPr>
          <w:b w:val="1"/>
          <w:bCs w:val="1"/>
          <w:lang w:val="en-ZA"/>
        </w:rPr>
      </w:pPr>
      <w:r w:rsidRPr="5D4836F3" w:rsidR="00443790">
        <w:rPr>
          <w:b w:val="1"/>
          <w:bCs w:val="1"/>
          <w:lang w:val="en-ZA"/>
        </w:rPr>
        <w:t xml:space="preserve">Successful EPR </w:t>
      </w:r>
      <w:r w:rsidRPr="5D4836F3" w:rsidR="00443790">
        <w:rPr>
          <w:b w:val="1"/>
          <w:bCs w:val="1"/>
          <w:lang w:val="en-ZA"/>
        </w:rPr>
        <w:t>requires</w:t>
      </w:r>
      <w:r w:rsidRPr="5D4836F3" w:rsidR="00443790">
        <w:rPr>
          <w:b w:val="1"/>
          <w:bCs w:val="1"/>
          <w:lang w:val="en-ZA"/>
        </w:rPr>
        <w:t xml:space="preserve"> five design principles, finds new white paper</w:t>
      </w:r>
    </w:p>
    <w:p w:rsidRPr="00443790" w:rsidR="00CC383C" w:rsidP="5D4836F3" w:rsidRDefault="00CC383C" w14:paraId="59AF01F4" w14:textId="343592F5">
      <w:pPr>
        <w:rPr>
          <w:lang w:val="en-ZA"/>
        </w:rPr>
      </w:pPr>
    </w:p>
    <w:p w:rsidRPr="00443790" w:rsidR="00CC383C" w:rsidP="5D4836F3" w:rsidRDefault="00CC383C" w14:paraId="3125AE4C" w14:textId="054AD909">
      <w:pPr>
        <w:pStyle w:val="Normal"/>
        <w:rPr>
          <w:rFonts w:ascii="Calibri" w:hAnsi="Calibri" w:eastAsia="Calibri" w:cs="Calibri"/>
          <w:b w:val="0"/>
          <w:bCs w:val="0"/>
          <w:i w:val="0"/>
          <w:iCs w:val="0"/>
          <w:caps w:val="0"/>
          <w:smallCaps w:val="0"/>
          <w:color w:val="4C4C4C"/>
          <w:sz w:val="24"/>
          <w:szCs w:val="24"/>
          <w:lang w:val="en-ZA"/>
        </w:rPr>
      </w:pPr>
      <w:r w:rsidRPr="5D4836F3" w:rsidR="221E9AA7">
        <w:rPr>
          <w:rFonts w:ascii="Calibri" w:hAnsi="Calibri" w:eastAsia="Calibri" w:cs="Calibri"/>
          <w:b w:val="0"/>
          <w:bCs w:val="0"/>
          <w:i w:val="0"/>
          <w:iCs w:val="0"/>
          <w:caps w:val="0"/>
          <w:smallCaps w:val="0"/>
          <w:color w:val="4C4C4C"/>
          <w:sz w:val="24"/>
          <w:szCs w:val="24"/>
          <w:lang w:val="en-ZA"/>
        </w:rPr>
        <w:t>30 March 2022</w:t>
      </w:r>
    </w:p>
    <w:p w:rsidRPr="00443790" w:rsidR="00CC383C" w:rsidP="5D4836F3" w:rsidRDefault="00CC383C" w14:paraId="351817F1" w14:textId="3DF92FBE">
      <w:pPr>
        <w:pStyle w:val="Normal"/>
        <w:rPr>
          <w:lang w:val="en-ZA"/>
        </w:rPr>
      </w:pPr>
    </w:p>
    <w:p w:rsidRPr="00443790" w:rsidR="00CC383C" w:rsidP="5D4836F3" w:rsidRDefault="00CC383C" w14:paraId="4C706362" w14:textId="59639E2E">
      <w:pPr>
        <w:spacing w:before="0" w:beforeAutospacing="off"/>
      </w:pPr>
      <w:r w:rsidRPr="5D4836F3" w:rsidR="043CAC55">
        <w:rPr>
          <w:rFonts w:ascii="Calibri" w:hAnsi="Calibri" w:eastAsia="Calibri" w:cs="Calibri"/>
          <w:b w:val="0"/>
          <w:bCs w:val="0"/>
          <w:i w:val="0"/>
          <w:iCs w:val="0"/>
          <w:caps w:val="0"/>
          <w:smallCaps w:val="0"/>
          <w:noProof w:val="0"/>
          <w:color w:val="4C4C4C"/>
          <w:sz w:val="24"/>
          <w:szCs w:val="24"/>
          <w:lang w:val="en-ZA"/>
        </w:rPr>
        <w:t>To coincide with its 50th anniversary, TOMRA has published its latest white paper examining how to achieve greater performance from Extended Producer Responsibility (EPR) programs. This policy principle has the power to accelerate society’s shift towards a more circular economy, where resources are reused repeatedly to maximize their value. TOMRA is the innovation leader for waste and resource management, offers practical solutions to deal with the ever-growing volume of packaging waste.</w:t>
      </w:r>
    </w:p>
    <w:p w:rsidRPr="00443790" w:rsidR="00CC383C" w:rsidP="5D4836F3" w:rsidRDefault="00CC383C" w14:paraId="054FC1CD" w14:textId="263AB022">
      <w:pPr>
        <w:spacing w:before="0" w:beforeAutospacing="off"/>
      </w:pPr>
      <w:r w:rsidRPr="5D4836F3" w:rsidR="043CAC55">
        <w:rPr>
          <w:rFonts w:ascii="Calibri" w:hAnsi="Calibri" w:eastAsia="Calibri" w:cs="Calibri"/>
          <w:b w:val="0"/>
          <w:bCs w:val="0"/>
          <w:i w:val="0"/>
          <w:iCs w:val="0"/>
          <w:caps w:val="0"/>
          <w:smallCaps w:val="0"/>
          <w:noProof w:val="0"/>
          <w:color w:val="4C4C4C"/>
          <w:sz w:val="24"/>
          <w:szCs w:val="24"/>
          <w:lang w:val="en-ZA"/>
        </w:rPr>
        <w:t>TOMRA’s new white paper,</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EPR Unpacked – A Policy Framework for a Circular Economy</w:t>
      </w:r>
      <w:r w:rsidRPr="5D4836F3" w:rsidR="043CAC55">
        <w:rPr>
          <w:rFonts w:ascii="Calibri" w:hAnsi="Calibri" w:eastAsia="Calibri" w:cs="Calibri"/>
          <w:b w:val="0"/>
          <w:bCs w:val="0"/>
          <w:i w:val="0"/>
          <w:iCs w:val="0"/>
          <w:caps w:val="0"/>
          <w:smallCaps w:val="0"/>
          <w:noProof w:val="0"/>
          <w:color w:val="4C4C4C"/>
          <w:sz w:val="24"/>
          <w:szCs w:val="24"/>
          <w:lang w:val="en-ZA"/>
        </w:rPr>
        <w:t>, examines EPR schemes for packaging waste and serves as a detailed guide for policymakers who design or develop EPR schemes, offering a multi-faceted perspective and practical insights to help achieve greater performance.</w:t>
      </w:r>
    </w:p>
    <w:p w:rsidRPr="00443790" w:rsidR="00CC383C" w:rsidP="5D4836F3" w:rsidRDefault="00CC383C" w14:paraId="7A338F19" w14:textId="48A71044">
      <w:pPr>
        <w:spacing w:before="0" w:beforeAutospacing="off"/>
      </w:pPr>
      <w:r w:rsidRPr="5D4836F3" w:rsidR="043CAC55">
        <w:rPr>
          <w:rFonts w:ascii="Calibri" w:hAnsi="Calibri" w:eastAsia="Calibri" w:cs="Calibri"/>
          <w:b w:val="0"/>
          <w:bCs w:val="0"/>
          <w:i w:val="0"/>
          <w:iCs w:val="0"/>
          <w:caps w:val="0"/>
          <w:smallCaps w:val="0"/>
          <w:noProof w:val="0"/>
          <w:color w:val="4C4C4C"/>
          <w:sz w:val="24"/>
          <w:szCs w:val="24"/>
          <w:lang w:val="en-ZA"/>
        </w:rPr>
        <w:t>EPR ensures that producers and manufacturers take responsibility for the full lifecycle of their packaging – from design to waste collection and recycling, and final disposal. As producers must provide dedicated funding for their own packaging, this policy principle also can incentivize sustainable packaging design and management based on the waste hierarchy, to achieve greater environmental outcomes.</w:t>
      </w:r>
    </w:p>
    <w:p w:rsidRPr="00443790" w:rsidR="00CC383C" w:rsidP="5D4836F3" w:rsidRDefault="00CC383C" w14:paraId="2B9F0A74" w14:textId="6806404E">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r w:rsidRPr="5D4836F3" w:rsidR="043CAC55">
        <w:rPr>
          <w:rFonts w:ascii="Calibri" w:hAnsi="Calibri" w:eastAsia="Calibri" w:cs="Calibri"/>
          <w:b w:val="0"/>
          <w:bCs w:val="0"/>
          <w:i w:val="0"/>
          <w:iCs w:val="0"/>
          <w:caps w:val="0"/>
          <w:smallCaps w:val="0"/>
          <w:noProof w:val="0"/>
          <w:color w:val="4C4C4C"/>
          <w:sz w:val="24"/>
          <w:szCs w:val="24"/>
          <w:lang w:val="en-ZA"/>
        </w:rPr>
        <w:t>The white paper explains the</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five design principles</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0"/>
          <w:bCs w:val="0"/>
          <w:i w:val="0"/>
          <w:iCs w:val="0"/>
          <w:caps w:val="0"/>
          <w:smallCaps w:val="0"/>
          <w:noProof w:val="0"/>
          <w:color w:val="4C4C4C"/>
          <w:sz w:val="24"/>
          <w:szCs w:val="24"/>
          <w:lang w:val="en-ZA"/>
        </w:rPr>
        <w:t>required</w:t>
      </w:r>
      <w:r w:rsidRPr="5D4836F3" w:rsidR="043CAC55">
        <w:rPr>
          <w:rFonts w:ascii="Calibri" w:hAnsi="Calibri" w:eastAsia="Calibri" w:cs="Calibri"/>
          <w:b w:val="0"/>
          <w:bCs w:val="0"/>
          <w:i w:val="0"/>
          <w:iCs w:val="0"/>
          <w:caps w:val="0"/>
          <w:smallCaps w:val="0"/>
          <w:noProof w:val="0"/>
          <w:color w:val="4C4C4C"/>
          <w:sz w:val="24"/>
          <w:szCs w:val="24"/>
          <w:lang w:val="en-ZA"/>
        </w:rPr>
        <w:t xml:space="preserve"> for the successful implementation of an EPR scheme. </w:t>
      </w:r>
      <w:r w:rsidRPr="5D4836F3" w:rsidR="043CAC55">
        <w:rPr>
          <w:rFonts w:ascii="Calibri" w:hAnsi="Calibri" w:eastAsia="Calibri" w:cs="Calibri"/>
          <w:b w:val="0"/>
          <w:bCs w:val="0"/>
          <w:i w:val="0"/>
          <w:iCs w:val="0"/>
          <w:caps w:val="0"/>
          <w:smallCaps w:val="0"/>
          <w:noProof w:val="0"/>
          <w:color w:val="4C4C4C"/>
          <w:sz w:val="24"/>
          <w:szCs w:val="24"/>
          <w:lang w:val="en-ZA"/>
        </w:rPr>
        <w:t>These are:</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circularity</w:t>
      </w:r>
      <w:r w:rsidRPr="5D4836F3" w:rsidR="043CAC55">
        <w:rPr>
          <w:rFonts w:ascii="Calibri" w:hAnsi="Calibri" w:eastAsia="Calibri" w:cs="Calibri"/>
          <w:b w:val="0"/>
          <w:bCs w:val="0"/>
          <w:i w:val="0"/>
          <w:iCs w:val="0"/>
          <w:caps w:val="0"/>
          <w:smallCaps w:val="0"/>
          <w:noProof w:val="0"/>
          <w:color w:val="4C4C4C"/>
          <w:sz w:val="24"/>
          <w:szCs w:val="24"/>
          <w:lang w:val="en-ZA"/>
        </w:rPr>
        <w:t>, which prioritizes the waste hierarchy, incentivizes eco-design, and utilizes reliable measurement protocols;</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performance</w:t>
      </w:r>
      <w:r w:rsidRPr="5D4836F3" w:rsidR="043CAC55">
        <w:rPr>
          <w:rFonts w:ascii="Calibri" w:hAnsi="Calibri" w:eastAsia="Calibri" w:cs="Calibri"/>
          <w:b w:val="0"/>
          <w:bCs w:val="0"/>
          <w:i w:val="0"/>
          <w:iCs w:val="0"/>
          <w:caps w:val="0"/>
          <w:smallCaps w:val="0"/>
          <w:noProof w:val="0"/>
          <w:color w:val="4C4C4C"/>
          <w:sz w:val="24"/>
          <w:szCs w:val="24"/>
          <w:lang w:val="en-ZA"/>
        </w:rPr>
        <w:t>, which includes a well-defined scope, clear roles and responsibilities, and comprehensive targets that scale up over time;</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convenience</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0"/>
          <w:bCs w:val="0"/>
          <w:i w:val="0"/>
          <w:iCs w:val="0"/>
          <w:caps w:val="0"/>
          <w:smallCaps w:val="0"/>
          <w:noProof w:val="0"/>
          <w:color w:val="4C4C4C"/>
          <w:sz w:val="24"/>
          <w:szCs w:val="24"/>
          <w:lang w:val="en-ZA"/>
        </w:rPr>
        <w:t>and user-friendly systems that increase the amount of valuable resources that are collected and processed effectively;</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producer responsibility</w:t>
      </w:r>
      <w:r w:rsidRPr="5D4836F3" w:rsidR="043CAC55">
        <w:rPr>
          <w:rFonts w:ascii="Calibri" w:hAnsi="Calibri" w:eastAsia="Calibri" w:cs="Calibri"/>
          <w:b w:val="0"/>
          <w:bCs w:val="0"/>
          <w:i w:val="0"/>
          <w:iCs w:val="0"/>
          <w:caps w:val="0"/>
          <w:smallCaps w:val="0"/>
          <w:noProof w:val="0"/>
          <w:color w:val="4C4C4C"/>
          <w:sz w:val="24"/>
          <w:szCs w:val="24"/>
          <w:lang w:val="en-ZA"/>
        </w:rPr>
        <w:t>, which establishes clear rules for the management of packaging waste; and finally,</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1"/>
          <w:bCs w:val="1"/>
          <w:i w:val="0"/>
          <w:iCs w:val="0"/>
          <w:caps w:val="0"/>
          <w:smallCaps w:val="0"/>
          <w:noProof w:val="0"/>
          <w:color w:val="4C4C4C"/>
          <w:sz w:val="24"/>
          <w:szCs w:val="24"/>
          <w:lang w:val="en-ZA"/>
        </w:rPr>
        <w:t>system integrity</w:t>
      </w:r>
      <w:r w:rsidRPr="5D4836F3" w:rsidR="043CAC55">
        <w:rPr>
          <w:rFonts w:ascii="Calibri" w:hAnsi="Calibri" w:eastAsia="Calibri" w:cs="Calibri"/>
          <w:b w:val="0"/>
          <w:bCs w:val="0"/>
          <w:i w:val="0"/>
          <w:iCs w:val="0"/>
          <w:caps w:val="0"/>
          <w:smallCaps w:val="0"/>
          <w:noProof w:val="0"/>
          <w:color w:val="4C4C4C"/>
          <w:sz w:val="24"/>
          <w:szCs w:val="24"/>
          <w:lang w:val="en-ZA"/>
        </w:rPr>
        <w:t xml:space="preserve">, which ensures transparency and compliance to support the achievement of targets. </w:t>
      </w:r>
    </w:p>
    <w:p w:rsidRPr="00443790" w:rsidR="00CC383C" w:rsidP="5D4836F3" w:rsidRDefault="00CC383C" w14:paraId="2DD1DE96" w14:textId="4D9ABA75">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Pr="00443790" w:rsidR="00CC383C" w:rsidP="5D4836F3" w:rsidRDefault="00CC383C" w14:paraId="6160015F" w14:textId="28BEC895">
      <w:pPr>
        <w:spacing w:before="0" w:beforeAutospacing="off" w:after="0" w:afterAutospacing="off"/>
      </w:pPr>
      <w:r w:rsidR="043CAC55">
        <w:drawing>
          <wp:inline wp14:editId="29B0048A" wp14:anchorId="0CB097C0">
            <wp:extent cx="5482691" cy="3872150"/>
            <wp:effectExtent l="0" t="0" r="0" b="0"/>
            <wp:docPr id="1996907512" name="" descr="five principles of hp epr schemes" title=""/>
            <wp:cNvGraphicFramePr>
              <a:graphicFrameLocks noChangeAspect="1"/>
            </wp:cNvGraphicFramePr>
            <a:graphic>
              <a:graphicData uri="http://schemas.openxmlformats.org/drawingml/2006/picture">
                <pic:pic>
                  <pic:nvPicPr>
                    <pic:cNvPr id="0" name=""/>
                    <pic:cNvPicPr/>
                  </pic:nvPicPr>
                  <pic:blipFill>
                    <a:blip r:embed="R926f8c9ce20d4780">
                      <a:extLst>
                        <a:ext xmlns:a="http://schemas.openxmlformats.org/drawingml/2006/main" uri="{28A0092B-C50C-407E-A947-70E740481C1C}">
                          <a14:useLocalDpi val="0"/>
                        </a:ext>
                      </a:extLst>
                    </a:blip>
                    <a:stretch>
                      <a:fillRect/>
                    </a:stretch>
                  </pic:blipFill>
                  <pic:spPr>
                    <a:xfrm>
                      <a:off x="0" y="0"/>
                      <a:ext cx="5482691" cy="3872150"/>
                    </a:xfrm>
                    <a:prstGeom prst="rect">
                      <a:avLst/>
                    </a:prstGeom>
                  </pic:spPr>
                </pic:pic>
              </a:graphicData>
            </a:graphic>
          </wp:inline>
        </w:drawing>
      </w:r>
    </w:p>
    <w:p w:rsidRPr="00443790" w:rsidR="00CC383C" w:rsidP="5D4836F3" w:rsidRDefault="00CC383C" w14:paraId="65707F3A" w14:textId="5BA95FB1">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Pr="00443790" w:rsidR="00CC383C" w:rsidP="5D4836F3" w:rsidRDefault="00CC383C" w14:paraId="7D4EA4B2" w14:textId="0FCAAD04">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r w:rsidRPr="5D4836F3" w:rsidR="043CAC55">
        <w:rPr>
          <w:rFonts w:ascii="Calibri" w:hAnsi="Calibri" w:eastAsia="Calibri" w:cs="Calibri"/>
          <w:b w:val="0"/>
          <w:bCs w:val="0"/>
          <w:i w:val="0"/>
          <w:iCs w:val="0"/>
          <w:caps w:val="0"/>
          <w:smallCaps w:val="0"/>
          <w:noProof w:val="0"/>
          <w:color w:val="4C4C4C"/>
          <w:sz w:val="24"/>
          <w:szCs w:val="24"/>
          <w:lang w:val="en-ZA"/>
        </w:rPr>
        <w:t>The five design principles, EPR Unpacked: A Policy Framework for a Circular Economy</w:t>
      </w:r>
    </w:p>
    <w:p w:rsidRPr="00443790" w:rsidR="00CC383C" w:rsidP="5D4836F3" w:rsidRDefault="00CC383C" w14:paraId="13AF704A" w14:textId="0F6D3989">
      <w:pPr>
        <w:spacing w:before="0" w:beforeAutospacing="off" w:after="0" w:afterAutospacing="off"/>
      </w:pPr>
      <w:r w:rsidRPr="5D4836F3" w:rsidR="043CAC55">
        <w:rPr>
          <w:rFonts w:ascii="Calibri" w:hAnsi="Calibri" w:eastAsia="Calibri" w:cs="Calibri"/>
          <w:b w:val="0"/>
          <w:bCs w:val="0"/>
          <w:i w:val="0"/>
          <w:iCs w:val="0"/>
          <w:caps w:val="0"/>
          <w:smallCaps w:val="0"/>
          <w:noProof w:val="0"/>
          <w:color w:val="4C4C4C"/>
          <w:sz w:val="24"/>
          <w:szCs w:val="24"/>
          <w:lang w:val="en-ZA"/>
        </w:rPr>
        <w:t xml:space="preserve">Holistic analysis and organization of the entire lifecycle of packaging are integral to an active environmental policy, while corresponding eco designs </w:t>
      </w:r>
      <w:r w:rsidRPr="5D4836F3" w:rsidR="043CAC55">
        <w:rPr>
          <w:rFonts w:ascii="Calibri" w:hAnsi="Calibri" w:eastAsia="Calibri" w:cs="Calibri"/>
          <w:b w:val="0"/>
          <w:bCs w:val="0"/>
          <w:i w:val="0"/>
          <w:iCs w:val="0"/>
          <w:caps w:val="0"/>
          <w:smallCaps w:val="0"/>
          <w:noProof w:val="0"/>
          <w:color w:val="4C4C4C"/>
          <w:sz w:val="24"/>
          <w:szCs w:val="24"/>
          <w:lang w:val="en-ZA"/>
        </w:rPr>
        <w:t>determine</w:t>
      </w:r>
      <w:r w:rsidRPr="5D4836F3" w:rsidR="043CAC55">
        <w:rPr>
          <w:rFonts w:ascii="Calibri" w:hAnsi="Calibri" w:eastAsia="Calibri" w:cs="Calibri"/>
          <w:b w:val="0"/>
          <w:bCs w:val="0"/>
          <w:i w:val="0"/>
          <w:iCs w:val="0"/>
          <w:caps w:val="0"/>
          <w:smallCaps w:val="0"/>
          <w:noProof w:val="0"/>
          <w:color w:val="4C4C4C"/>
          <w:sz w:val="24"/>
          <w:szCs w:val="24"/>
          <w:lang w:val="en-ZA"/>
        </w:rPr>
        <w:t xml:space="preserve"> </w:t>
      </w:r>
      <w:r w:rsidRPr="5D4836F3" w:rsidR="043CAC55">
        <w:rPr>
          <w:rFonts w:ascii="Calibri" w:hAnsi="Calibri" w:eastAsia="Calibri" w:cs="Calibri"/>
          <w:b w:val="0"/>
          <w:bCs w:val="0"/>
          <w:i w:val="0"/>
          <w:iCs w:val="0"/>
          <w:caps w:val="0"/>
          <w:smallCaps w:val="0"/>
          <w:noProof w:val="0"/>
          <w:color w:val="4C4C4C"/>
          <w:sz w:val="24"/>
          <w:szCs w:val="24"/>
          <w:lang w:val="en-ZA"/>
        </w:rPr>
        <w:t>recyclate</w:t>
      </w:r>
      <w:r w:rsidRPr="5D4836F3" w:rsidR="043CAC55">
        <w:rPr>
          <w:rFonts w:ascii="Calibri" w:hAnsi="Calibri" w:eastAsia="Calibri" w:cs="Calibri"/>
          <w:b w:val="0"/>
          <w:bCs w:val="0"/>
          <w:i w:val="0"/>
          <w:iCs w:val="0"/>
          <w:caps w:val="0"/>
          <w:smallCaps w:val="0"/>
          <w:noProof w:val="0"/>
          <w:color w:val="4C4C4C"/>
          <w:sz w:val="24"/>
          <w:szCs w:val="24"/>
          <w:lang w:val="en-ZA"/>
        </w:rPr>
        <w:t xml:space="preserve"> quality, independent of local conditions. The white paper </w:t>
      </w:r>
      <w:r w:rsidRPr="5D4836F3" w:rsidR="043CAC55">
        <w:rPr>
          <w:rFonts w:ascii="Calibri" w:hAnsi="Calibri" w:eastAsia="Calibri" w:cs="Calibri"/>
          <w:b w:val="0"/>
          <w:bCs w:val="0"/>
          <w:i w:val="0"/>
          <w:iCs w:val="0"/>
          <w:caps w:val="0"/>
          <w:smallCaps w:val="0"/>
          <w:noProof w:val="0"/>
          <w:color w:val="4C4C4C"/>
          <w:sz w:val="24"/>
          <w:szCs w:val="24"/>
          <w:lang w:val="en-ZA"/>
        </w:rPr>
        <w:t>provides</w:t>
      </w:r>
      <w:r w:rsidRPr="5D4836F3" w:rsidR="043CAC55">
        <w:rPr>
          <w:rFonts w:ascii="Calibri" w:hAnsi="Calibri" w:eastAsia="Calibri" w:cs="Calibri"/>
          <w:b w:val="0"/>
          <w:bCs w:val="0"/>
          <w:i w:val="0"/>
          <w:iCs w:val="0"/>
          <w:caps w:val="0"/>
          <w:smallCaps w:val="0"/>
          <w:noProof w:val="0"/>
          <w:color w:val="4C4C4C"/>
          <w:sz w:val="24"/>
          <w:szCs w:val="24"/>
          <w:lang w:val="en-ZA"/>
        </w:rPr>
        <w:t xml:space="preserve"> advice on re-structuring or fine-tuning the existing system, transforming it into a closed loop. </w:t>
      </w:r>
    </w:p>
    <w:p w:rsidRPr="00443790" w:rsidR="00CC383C" w:rsidP="5D4836F3" w:rsidRDefault="00CC383C" w14:paraId="28CDA863" w14:textId="500773FA">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Pr="00443790" w:rsidR="00CC383C" w:rsidP="5D4836F3" w:rsidRDefault="00CC383C" w14:paraId="496C3F8C" w14:textId="3550B926">
      <w:pPr>
        <w:spacing w:before="0" w:beforeAutospacing="off" w:after="0" w:afterAutospacing="off"/>
        <w:rPr>
          <w:rFonts w:ascii="Calibri" w:hAnsi="Calibri" w:eastAsia="Calibri" w:cs="Calibri"/>
          <w:b w:val="0"/>
          <w:bCs w:val="0"/>
          <w:i w:val="0"/>
          <w:iCs w:val="0"/>
          <w:caps w:val="0"/>
          <w:smallCaps w:val="0"/>
          <w:noProof w:val="0"/>
          <w:color w:val="007CAD"/>
          <w:sz w:val="24"/>
          <w:szCs w:val="24"/>
          <w:lang w:val="en-ZA"/>
        </w:rPr>
      </w:pPr>
      <w:r w:rsidRPr="5D4836F3" w:rsidR="2ABE64E4">
        <w:rPr>
          <w:rFonts w:ascii="Calibri" w:hAnsi="Calibri" w:eastAsia="Calibri" w:cs="Calibri"/>
          <w:b w:val="0"/>
          <w:bCs w:val="0"/>
          <w:i w:val="1"/>
          <w:iCs w:val="1"/>
          <w:caps w:val="0"/>
          <w:smallCaps w:val="0"/>
          <w:noProof w:val="0"/>
          <w:color w:val="4C4C4C"/>
          <w:sz w:val="24"/>
          <w:szCs w:val="24"/>
          <w:lang w:val="en-ZA"/>
        </w:rPr>
        <w:t>“</w:t>
      </w:r>
      <w:r w:rsidRPr="5D4836F3" w:rsidR="043CAC55">
        <w:rPr>
          <w:rFonts w:ascii="Calibri" w:hAnsi="Calibri" w:eastAsia="Calibri" w:cs="Calibri"/>
          <w:b w:val="0"/>
          <w:bCs w:val="0"/>
          <w:i w:val="1"/>
          <w:iCs w:val="1"/>
          <w:caps w:val="0"/>
          <w:smallCaps w:val="0"/>
          <w:noProof w:val="0"/>
          <w:color w:val="4C4C4C"/>
          <w:sz w:val="24"/>
          <w:szCs w:val="24"/>
          <w:lang w:val="en-ZA"/>
        </w:rPr>
        <w:t xml:space="preserve">TOMRA’s first-hand experience in </w:t>
      </w:r>
      <w:r w:rsidRPr="5D4836F3" w:rsidR="043CAC55">
        <w:rPr>
          <w:rFonts w:ascii="Calibri" w:hAnsi="Calibri" w:eastAsia="Calibri" w:cs="Calibri"/>
          <w:b w:val="0"/>
          <w:bCs w:val="0"/>
          <w:i w:val="1"/>
          <w:iCs w:val="1"/>
          <w:caps w:val="0"/>
          <w:smallCaps w:val="0"/>
          <w:noProof w:val="0"/>
          <w:color w:val="4C4C4C"/>
          <w:sz w:val="24"/>
          <w:szCs w:val="24"/>
          <w:lang w:val="en-ZA"/>
        </w:rPr>
        <w:t>numerous</w:t>
      </w:r>
      <w:r w:rsidRPr="5D4836F3" w:rsidR="043CAC55">
        <w:rPr>
          <w:rFonts w:ascii="Calibri" w:hAnsi="Calibri" w:eastAsia="Calibri" w:cs="Calibri"/>
          <w:b w:val="0"/>
          <w:bCs w:val="0"/>
          <w:i w:val="1"/>
          <w:iCs w:val="1"/>
          <w:caps w:val="0"/>
          <w:smallCaps w:val="0"/>
          <w:noProof w:val="0"/>
          <w:color w:val="4C4C4C"/>
          <w:sz w:val="24"/>
          <w:szCs w:val="24"/>
          <w:lang w:val="en-ZA"/>
        </w:rPr>
        <w:t xml:space="preserve"> markets on all continents has taught us which methods can be used to successfully address the challenge of managing post-consumer packaging waste, and which combinations work best. In some regions, where effective waste management systems have been </w:t>
      </w:r>
      <w:r w:rsidRPr="5D4836F3" w:rsidR="043CAC55">
        <w:rPr>
          <w:rFonts w:ascii="Calibri" w:hAnsi="Calibri" w:eastAsia="Calibri" w:cs="Calibri"/>
          <w:b w:val="0"/>
          <w:bCs w:val="0"/>
          <w:i w:val="1"/>
          <w:iCs w:val="1"/>
          <w:caps w:val="0"/>
          <w:smallCaps w:val="0"/>
          <w:noProof w:val="0"/>
          <w:color w:val="4C4C4C"/>
          <w:sz w:val="24"/>
          <w:szCs w:val="24"/>
          <w:lang w:val="en-ZA"/>
        </w:rPr>
        <w:t>established</w:t>
      </w:r>
      <w:r w:rsidRPr="5D4836F3" w:rsidR="043CAC55">
        <w:rPr>
          <w:rFonts w:ascii="Calibri" w:hAnsi="Calibri" w:eastAsia="Calibri" w:cs="Calibri"/>
          <w:b w:val="0"/>
          <w:bCs w:val="0"/>
          <w:i w:val="1"/>
          <w:iCs w:val="1"/>
          <w:caps w:val="0"/>
          <w:smallCaps w:val="0"/>
          <w:noProof w:val="0"/>
          <w:color w:val="4C4C4C"/>
          <w:sz w:val="24"/>
          <w:szCs w:val="24"/>
          <w:lang w:val="en-ZA"/>
        </w:rPr>
        <w:t>, more needs to be done to encourage the proper collection, sorting, and recycling of valuable material that is simply thrown away. Implementing legally defined (in other words, mandatory) obligations covering the use of resources, and their responsible handling, is the way forward, as this will result in direct, active climate protection.</w:t>
      </w:r>
      <w:r w:rsidRPr="5D4836F3" w:rsidR="751AF068">
        <w:rPr>
          <w:rFonts w:ascii="Calibri" w:hAnsi="Calibri" w:eastAsia="Calibri" w:cs="Calibri"/>
          <w:b w:val="0"/>
          <w:bCs w:val="0"/>
          <w:i w:val="1"/>
          <w:iCs w:val="1"/>
          <w:caps w:val="0"/>
          <w:smallCaps w:val="0"/>
          <w:noProof w:val="0"/>
          <w:color w:val="4C4C4C"/>
          <w:sz w:val="24"/>
          <w:szCs w:val="24"/>
          <w:lang w:val="en-ZA"/>
        </w:rPr>
        <w:t>”</w:t>
      </w:r>
      <w:r w:rsidRPr="5D4836F3" w:rsidR="751AF068">
        <w:rPr>
          <w:rFonts w:ascii="Calibri" w:hAnsi="Calibri" w:eastAsia="Calibri" w:cs="Calibri"/>
          <w:b w:val="0"/>
          <w:bCs w:val="0"/>
          <w:i w:val="1"/>
          <w:iCs w:val="1"/>
          <w:caps w:val="0"/>
          <w:smallCaps w:val="0"/>
          <w:noProof w:val="0"/>
          <w:color w:val="auto"/>
          <w:sz w:val="24"/>
          <w:szCs w:val="24"/>
          <w:lang w:val="en-ZA"/>
        </w:rPr>
        <w:t xml:space="preserve"> </w:t>
      </w:r>
      <w:r w:rsidRPr="5D4836F3" w:rsidR="751AF068">
        <w:rPr>
          <w:rFonts w:ascii="Calibri" w:hAnsi="Calibri" w:eastAsia="Calibri" w:cs="Calibri"/>
          <w:b w:val="0"/>
          <w:bCs w:val="0"/>
          <w:i w:val="0"/>
          <w:iCs w:val="0"/>
          <w:caps w:val="0"/>
          <w:smallCaps w:val="0"/>
          <w:noProof w:val="0"/>
          <w:color w:val="007CAD"/>
          <w:sz w:val="24"/>
          <w:szCs w:val="24"/>
          <w:lang w:val="en-ZA"/>
        </w:rPr>
        <w:t xml:space="preserve">- </w:t>
      </w:r>
      <w:r w:rsidRPr="5D4836F3" w:rsidR="043CAC55">
        <w:rPr>
          <w:rFonts w:ascii="Calibri" w:hAnsi="Calibri" w:eastAsia="Calibri" w:cs="Calibri"/>
          <w:b w:val="0"/>
          <w:bCs w:val="0"/>
          <w:i w:val="1"/>
          <w:iCs w:val="1"/>
          <w:caps w:val="0"/>
          <w:smallCaps w:val="0"/>
          <w:noProof w:val="0"/>
          <w:color w:val="4C4C4C"/>
          <w:sz w:val="24"/>
          <w:szCs w:val="24"/>
          <w:lang w:val="en-ZA"/>
        </w:rPr>
        <w:t>Wolfgang</w:t>
      </w:r>
      <w:r w:rsidRPr="5D4836F3" w:rsidR="043CAC55">
        <w:rPr>
          <w:rFonts w:ascii="Calibri" w:hAnsi="Calibri" w:eastAsia="Calibri" w:cs="Calibri"/>
          <w:b w:val="0"/>
          <w:bCs w:val="0"/>
          <w:i w:val="1"/>
          <w:iCs w:val="1"/>
          <w:caps w:val="0"/>
          <w:smallCaps w:val="0"/>
          <w:noProof w:val="0"/>
          <w:color w:val="4C4C4C"/>
          <w:sz w:val="24"/>
          <w:szCs w:val="24"/>
          <w:lang w:val="en-ZA"/>
        </w:rPr>
        <w:t xml:space="preserve"> </w:t>
      </w:r>
      <w:r w:rsidRPr="5D4836F3" w:rsidR="043CAC55">
        <w:rPr>
          <w:rFonts w:ascii="Calibri" w:hAnsi="Calibri" w:eastAsia="Calibri" w:cs="Calibri"/>
          <w:b w:val="0"/>
          <w:bCs w:val="0"/>
          <w:i w:val="1"/>
          <w:iCs w:val="1"/>
          <w:caps w:val="0"/>
          <w:smallCaps w:val="0"/>
          <w:noProof w:val="0"/>
          <w:color w:val="4C4C4C"/>
          <w:sz w:val="24"/>
          <w:szCs w:val="24"/>
          <w:lang w:val="en-ZA"/>
        </w:rPr>
        <w:t>Ringel</w:t>
      </w:r>
      <w:r w:rsidRPr="5D4836F3" w:rsidR="043CAC55">
        <w:rPr>
          <w:rFonts w:ascii="Calibri" w:hAnsi="Calibri" w:eastAsia="Calibri" w:cs="Calibri"/>
          <w:b w:val="0"/>
          <w:bCs w:val="0"/>
          <w:i w:val="1"/>
          <w:iCs w:val="1"/>
          <w:caps w:val="0"/>
          <w:smallCaps w:val="0"/>
          <w:noProof w:val="0"/>
          <w:color w:val="4C4C4C"/>
          <w:sz w:val="24"/>
          <w:szCs w:val="24"/>
          <w:lang w:val="en-ZA"/>
        </w:rPr>
        <w:t>SV</w:t>
      </w:r>
      <w:r w:rsidRPr="5D4836F3" w:rsidR="043CAC55">
        <w:rPr>
          <w:rFonts w:ascii="Calibri" w:hAnsi="Calibri" w:eastAsia="Calibri" w:cs="Calibri"/>
          <w:b w:val="0"/>
          <w:bCs w:val="0"/>
          <w:i w:val="1"/>
          <w:iCs w:val="1"/>
          <w:caps w:val="0"/>
          <w:smallCaps w:val="0"/>
          <w:noProof w:val="0"/>
          <w:color w:val="4C4C4C"/>
          <w:sz w:val="24"/>
          <w:szCs w:val="24"/>
          <w:lang w:val="en-ZA"/>
        </w:rPr>
        <w:t>P</w:t>
      </w:r>
      <w:r w:rsidRPr="5D4836F3" w:rsidR="043CAC55">
        <w:rPr>
          <w:rFonts w:ascii="Calibri" w:hAnsi="Calibri" w:eastAsia="Calibri" w:cs="Calibri"/>
          <w:b w:val="0"/>
          <w:bCs w:val="0"/>
          <w:i w:val="1"/>
          <w:iCs w:val="1"/>
          <w:caps w:val="0"/>
          <w:smallCaps w:val="0"/>
          <w:noProof w:val="0"/>
          <w:color w:val="4C4C4C"/>
          <w:sz w:val="24"/>
          <w:szCs w:val="24"/>
          <w:lang w:val="en-ZA"/>
        </w:rPr>
        <w:t xml:space="preserve"> Public Affairs TOMRA</w:t>
      </w:r>
    </w:p>
    <w:p w:rsidRPr="00443790" w:rsidR="00CC383C" w:rsidP="5D4836F3" w:rsidRDefault="00CC383C" w14:paraId="7829CE09" w14:textId="2DB5E835">
      <w:pPr>
        <w:pStyle w:val="Normal"/>
        <w:spacing w:before="0" w:beforeAutospacing="off" w:after="0" w:afterAutospacing="off"/>
        <w:rPr>
          <w:rFonts w:ascii="Calibri" w:hAnsi="Calibri" w:eastAsia="Calibri" w:cs="Calibri"/>
          <w:b w:val="0"/>
          <w:bCs w:val="0"/>
          <w:i w:val="1"/>
          <w:iCs w:val="1"/>
          <w:caps w:val="0"/>
          <w:smallCaps w:val="0"/>
          <w:noProof w:val="0"/>
          <w:color w:val="4C4C4C"/>
          <w:sz w:val="24"/>
          <w:szCs w:val="24"/>
          <w:lang w:val="en-ZA"/>
        </w:rPr>
      </w:pPr>
    </w:p>
    <w:p w:rsidRPr="00443790" w:rsidR="00CC383C" w:rsidP="5D4836F3" w:rsidRDefault="00CC383C" w14:paraId="7233CBFA" w14:textId="309849F6">
      <w:pPr>
        <w:spacing w:before="0" w:beforeAutospacing="off" w:after="0" w:afterAutospacing="off"/>
      </w:pPr>
      <w:r w:rsidRPr="5D4836F3" w:rsidR="043CAC55">
        <w:rPr>
          <w:rFonts w:ascii="Calibri" w:hAnsi="Calibri" w:eastAsia="Calibri" w:cs="Calibri"/>
          <w:b w:val="0"/>
          <w:bCs w:val="0"/>
          <w:i w:val="0"/>
          <w:iCs w:val="0"/>
          <w:caps w:val="0"/>
          <w:smallCaps w:val="0"/>
          <w:noProof w:val="0"/>
          <w:color w:val="4C4C4C"/>
          <w:sz w:val="24"/>
          <w:szCs w:val="24"/>
          <w:lang w:val="en-ZA"/>
        </w:rPr>
        <w:t>Today, EPR is applied across regions globally. In Asia, local EPR initiatives have developed into cross-industry networks – a response to the fact that 80% of the plastic in the world’s oceans entered them via Asian waterways. South Africa and Vietnam have recently implemented EPR for packaging, and several states within the United States are currently considering such measures.</w:t>
      </w:r>
    </w:p>
    <w:p w:rsidRPr="00443790" w:rsidR="00CC383C" w:rsidP="5D4836F3" w:rsidRDefault="00CC383C" w14:paraId="12A6DF35" w14:textId="4B42CBDB">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ZA"/>
        </w:rPr>
      </w:pPr>
    </w:p>
    <w:p w:rsidRPr="00443790" w:rsidR="00CC383C" w:rsidP="5D4836F3" w:rsidRDefault="00CC383C" w14:paraId="3B5CEAE5" w14:textId="2388F962">
      <w:pPr>
        <w:spacing w:before="0" w:beforeAutospacing="off"/>
      </w:pPr>
      <w:r w:rsidRPr="5D4836F3" w:rsidR="043CAC55">
        <w:rPr>
          <w:rFonts w:ascii="Calibri" w:hAnsi="Calibri" w:eastAsia="Calibri" w:cs="Calibri"/>
          <w:b w:val="0"/>
          <w:bCs w:val="0"/>
          <w:i w:val="0"/>
          <w:iCs w:val="0"/>
          <w:caps w:val="0"/>
          <w:smallCaps w:val="0"/>
          <w:noProof w:val="0"/>
          <w:color w:val="4C4C4C"/>
          <w:sz w:val="24"/>
          <w:szCs w:val="24"/>
          <w:lang w:val="en-ZA"/>
        </w:rPr>
        <w:t>While these efforts are making great strides in establishing effective systems, national and global harmonization remains a challenge but offers great opportunity for circularity. Additionally, attractive pro-EPR framework regulations should promote investment and ensure the realization of sustainable development.</w:t>
      </w:r>
    </w:p>
    <w:p w:rsidRPr="00443790" w:rsidR="00CC383C" w:rsidP="5D4836F3" w:rsidRDefault="00CC383C" w14:paraId="0CCD5D82" w14:textId="367B27E3">
      <w:pPr>
        <w:spacing w:before="0" w:beforeAutospacing="off"/>
      </w:pPr>
      <w:r w:rsidRPr="5D4836F3" w:rsidR="043CAC55">
        <w:rPr>
          <w:rFonts w:ascii="Calibri" w:hAnsi="Calibri" w:eastAsia="Calibri" w:cs="Calibri"/>
          <w:b w:val="0"/>
          <w:bCs w:val="0"/>
          <w:i w:val="0"/>
          <w:iCs w:val="0"/>
          <w:caps w:val="0"/>
          <w:smallCaps w:val="0"/>
          <w:noProof w:val="0"/>
          <w:color w:val="4C4C4C"/>
          <w:sz w:val="24"/>
          <w:szCs w:val="24"/>
          <w:lang w:val="en-ZA"/>
        </w:rPr>
        <w:t>In Europe, the robust targets defined in the 2019 Single-Use Plastics Directive have resulted in almost all EU member states introducing legislation on deposit return systems for beverage containers, which will apply by 2029.</w:t>
      </w:r>
    </w:p>
    <w:p w:rsidRPr="00443790" w:rsidR="00CC383C" w:rsidP="5D4836F3" w:rsidRDefault="00CC383C" w14:paraId="12339B66" w14:textId="6D7ABBE1">
      <w:pPr>
        <w:spacing w:before="0" w:beforeAutospacing="off" w:after="0" w:afterAutospacing="off"/>
      </w:pPr>
      <w:r w:rsidRPr="5D4836F3" w:rsidR="043CAC55">
        <w:rPr>
          <w:rFonts w:ascii="Calibri" w:hAnsi="Calibri" w:eastAsia="Calibri" w:cs="Calibri"/>
          <w:b w:val="0"/>
          <w:bCs w:val="0"/>
          <w:i w:val="0"/>
          <w:iCs w:val="0"/>
          <w:caps w:val="0"/>
          <w:smallCaps w:val="0"/>
          <w:noProof w:val="0"/>
          <w:color w:val="4C4C4C"/>
          <w:sz w:val="24"/>
          <w:szCs w:val="24"/>
          <w:lang w:val="en-ZA"/>
        </w:rPr>
        <w:t>The implementation of EPR legislation is a transformative measure to improve both the quality and quantity of the resources that get recycled, thereby supporting the acceleration to a circular economy.</w:t>
      </w:r>
    </w:p>
    <w:p w:rsidRPr="00443790" w:rsidR="00CC383C" w:rsidP="5D4836F3" w:rsidRDefault="00CC383C" w14:paraId="7CACDEED" w14:textId="27EDCA7B">
      <w:pPr>
        <w:pStyle w:val="Normal"/>
        <w:rPr>
          <w:lang w:val="en-ZA"/>
        </w:rPr>
      </w:pPr>
    </w:p>
    <w:p w:rsidRPr="00443790" w:rsidR="00CC383C" w:rsidP="5D4836F3" w:rsidRDefault="00CC383C" w14:paraId="2739782F" w14:textId="64A62C4C">
      <w:pPr>
        <w:pStyle w:val="Normal"/>
        <w:rPr>
          <w:lang w:val="en-ZA"/>
        </w:rPr>
      </w:pPr>
      <w:r w:rsidRPr="5D4836F3" w:rsidR="3D6DF5EE">
        <w:rPr>
          <w:rFonts w:ascii="Calibri" w:hAnsi="Calibri" w:eastAsia="Calibri" w:cs="Calibri"/>
          <w:b w:val="0"/>
          <w:bCs w:val="0"/>
          <w:i w:val="0"/>
          <w:iCs w:val="0"/>
          <w:caps w:val="0"/>
          <w:smallCaps w:val="0"/>
          <w:color w:val="4C4C4C"/>
          <w:sz w:val="24"/>
          <w:szCs w:val="24"/>
          <w:lang w:val="en-ZA"/>
        </w:rPr>
        <w:t>Read it online</w:t>
      </w:r>
      <w:r w:rsidRPr="5D4836F3" w:rsidR="00443790">
        <w:rPr>
          <w:rFonts w:ascii="Calibri" w:hAnsi="Calibri" w:eastAsia="Calibri" w:cs="Calibri"/>
          <w:b w:val="0"/>
          <w:bCs w:val="0"/>
          <w:i w:val="0"/>
          <w:iCs w:val="0"/>
          <w:caps w:val="0"/>
          <w:smallCaps w:val="0"/>
          <w:color w:val="4C4C4C"/>
          <w:sz w:val="24"/>
          <w:szCs w:val="24"/>
          <w:lang w:val="en-ZA"/>
        </w:rPr>
        <w:t>:</w:t>
      </w:r>
      <w:r w:rsidRPr="5D4836F3" w:rsidR="00443790">
        <w:rPr>
          <w:lang w:val="en-ZA"/>
        </w:rPr>
        <w:t xml:space="preserve"> </w:t>
      </w:r>
      <w:hyperlink r:id="R35a28ed0958d4e26">
        <w:r w:rsidRPr="5D4836F3" w:rsidR="00443790">
          <w:rPr>
            <w:rStyle w:val="Hyperlink"/>
            <w:lang w:val="en-ZA"/>
          </w:rPr>
          <w:t>https://www.tomra.com/news-and-media/news/2022/successful-epr-requires-five-design-principles</w:t>
        </w:r>
      </w:hyperlink>
      <w:r w:rsidRPr="5D4836F3" w:rsidR="00443790">
        <w:rPr>
          <w:lang w:val="en-ZA"/>
        </w:rPr>
        <w:t xml:space="preserve"> </w:t>
      </w:r>
    </w:p>
    <w:sectPr w:rsidRPr="00443790" w:rsidR="00CC383C">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3C"/>
    <w:rsid w:val="00194F36"/>
    <w:rsid w:val="00443790"/>
    <w:rsid w:val="00794127"/>
    <w:rsid w:val="00B5437D"/>
    <w:rsid w:val="00B77FEA"/>
    <w:rsid w:val="00CC383C"/>
    <w:rsid w:val="00CC7D50"/>
    <w:rsid w:val="00E54BCA"/>
    <w:rsid w:val="043CAC55"/>
    <w:rsid w:val="221E9AA7"/>
    <w:rsid w:val="2ABE64E4"/>
    <w:rsid w:val="3149BF34"/>
    <w:rsid w:val="3D234472"/>
    <w:rsid w:val="3D6DF5EE"/>
    <w:rsid w:val="4167D084"/>
    <w:rsid w:val="449F7146"/>
    <w:rsid w:val="5BAC6692"/>
    <w:rsid w:val="5D4836F3"/>
    <w:rsid w:val="69D1B725"/>
    <w:rsid w:val="751AF0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EB29"/>
  <w15:chartTrackingRefBased/>
  <w15:docId w15:val="{908ED8EA-521D-4733-9CCC-A92853517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43790"/>
    <w:rPr>
      <w:color w:val="0563C1" w:themeColor="hyperlink"/>
      <w:u w:val="single"/>
    </w:rPr>
  </w:style>
  <w:style w:type="character" w:styleId="UnresolvedMention">
    <w:name w:val="Unresolved Mention"/>
    <w:basedOn w:val="DefaultParagraphFont"/>
    <w:uiPriority w:val="99"/>
    <w:semiHidden/>
    <w:unhideWhenUsed/>
    <w:rsid w:val="00443790"/>
    <w:rPr>
      <w:color w:val="605E5C"/>
      <w:shd w:val="clear" w:color="auto" w:fill="E1DFDD"/>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49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3.xml" Id="rId9" /><Relationship Type="http://schemas.openxmlformats.org/officeDocument/2006/relationships/image" Target="/media/image.jpg" Id="R926f8c9ce20d4780" /><Relationship Type="http://schemas.openxmlformats.org/officeDocument/2006/relationships/hyperlink" Target="https://www.tomra.com/news-and-media/news/2022/successful-epr-requires-five-design-principles" TargetMode="External" Id="R35a28ed0958d4e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4794eb-591f-4b79-83b3-8812edd404e9">
      <Terms xmlns="http://schemas.microsoft.com/office/infopath/2007/PartnerControls"/>
    </lcf76f155ced4ddcb4097134ff3c332f>
    <Prepared xmlns="334794eb-591f-4b79-83b3-8812edd404e9">false</Prepared>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513A18EB-B022-40B6-AE87-D1B1BD281195}"/>
</file>

<file path=customXml/itemProps2.xml><?xml version="1.0" encoding="utf-8"?>
<ds:datastoreItem xmlns:ds="http://schemas.openxmlformats.org/officeDocument/2006/customXml" ds:itemID="{F4F304A8-8193-4CEB-A594-8A5BC967AE30}"/>
</file>

<file path=customXml/itemProps3.xml><?xml version="1.0" encoding="utf-8"?>
<ds:datastoreItem xmlns:ds="http://schemas.openxmlformats.org/officeDocument/2006/customXml" ds:itemID="{EF79878F-BCB8-4015-95B1-FF581190B84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Reichlin</dc:creator>
  <cp:keywords/>
  <dc:description/>
  <cp:lastModifiedBy>Franciele Machado</cp:lastModifiedBy>
  <cp:revision>3</cp:revision>
  <dcterms:created xsi:type="dcterms:W3CDTF">2023-07-14T10:16:00Z</dcterms:created>
  <dcterms:modified xsi:type="dcterms:W3CDTF">2023-07-19T12:52:33Z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y fmtid="{D5CDD505-2E9C-101B-9397-08002B2CF9AE}" pid="3" name="MediaServiceImageTags">
    <vt:lpwstr/>
  </property>
</Properties>
</file>